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lang w:bidi="ar"/>
        </w:rPr>
      </w:pPr>
      <w:r>
        <w:rPr>
          <w:rFonts w:hint="eastAsia" w:ascii="仿宋_GB2312" w:hAnsi="仿宋_GB2312" w:cs="仿宋_GB231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410845</wp:posOffset>
                </wp:positionV>
                <wp:extent cx="5566410" cy="2290445"/>
                <wp:effectExtent l="0" t="4445" r="1524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6410" cy="2290445"/>
                          <a:chOff x="1578" y="3399"/>
                          <a:chExt cx="8961" cy="360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965" y="3399"/>
                            <a:ext cx="6617" cy="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line="1100" w:lineRule="exact"/>
                                <w:jc w:val="distribute"/>
                                <w:rPr>
                                  <w:rFonts w:hint="eastAsia" w:eastAsia="方正小标宋简体"/>
                                  <w:color w:val="FF0000"/>
                                  <w:spacing w:val="-15"/>
                                  <w:w w:val="60"/>
                                  <w:sz w:val="80"/>
                                </w:rPr>
                              </w:pPr>
                              <w:r>
                                <w:rPr>
                                  <w:rFonts w:hint="eastAsia" w:eastAsia="方正小标宋简体"/>
                                  <w:color w:val="FF0000"/>
                                  <w:spacing w:val="-15"/>
                                  <w:w w:val="60"/>
                                  <w:sz w:val="80"/>
                                </w:rPr>
                                <w:t>中共河南省委高校工作委员会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1100" w:lineRule="exact"/>
                                <w:jc w:val="distribute"/>
                                <w:rPr>
                                  <w:rFonts w:eastAsia="方正小标宋简体"/>
                                  <w:color w:val="FF0000"/>
                                  <w:spacing w:val="-15"/>
                                  <w:w w:val="60"/>
                                  <w:sz w:val="80"/>
                                </w:rPr>
                              </w:pPr>
                              <w:r>
                                <w:rPr>
                                  <w:rFonts w:hint="eastAsia" w:eastAsia="方正小标宋简体"/>
                                  <w:color w:val="FF0000"/>
                                  <w:spacing w:val="-15"/>
                                  <w:w w:val="60"/>
                                  <w:sz w:val="80"/>
                                </w:rPr>
                                <w:t>河南省教育厅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8529" y="3620"/>
                            <a:ext cx="1848" cy="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方正小标宋简体"/>
                                  <w:color w:val="FF0000"/>
                                  <w:spacing w:val="-50"/>
                                  <w:sz w:val="100"/>
                                </w:rPr>
                              </w:pPr>
                              <w:r>
                                <w:rPr>
                                  <w:rFonts w:hint="eastAsia" w:eastAsia="方正小标宋简体"/>
                                  <w:color w:val="FF0000"/>
                                  <w:spacing w:val="-50"/>
                                  <w:w w:val="66"/>
                                  <w:sz w:val="100"/>
                                </w:rPr>
                                <w:t>文件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578" y="7006"/>
                            <a:ext cx="896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3pt;margin-top:32.35pt;height:180.35pt;width:438.3pt;z-index:-251657216;mso-width-relative:page;mso-height-relative:page;" coordorigin="1578,3399" coordsize="8961,3607" o:gfxdata="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4xBI22gAA&#10;AAkBAAAPAAAAAAAAAAEAIAAAACIAAABkcnMvZG93bnJldi54bWxQSwECFAAUAAAACACHTuJANJfF&#10;fwADAACwCQAADgAAAAAAAAABACAAAAApAQAAZHJzL2Uyb0RvYy54bWxQSwUGAAAAAAYABgBZAQAA&#10;mwYAAAAA&#10;">
                <o:lock v:ext="edit" aspectratio="f"/>
                <v:rect id="_x0000_s1026" o:spid="_x0000_s1026" o:spt="1" style="position:absolute;left:1965;top:3399;height:2975;width:6617;" fillcolor="#FFFFFF" filled="t" stroked="t" coordsize="21600,21600" o:gfxdata="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2Fii5AAAA2gAA&#10;AA8AAAAAAAAAAQAgAAAAIgAAAGRycy9kb3ducmV2LnhtbFBLAQIUABQAAAAIAIdO4kAzLwWeOwAA&#10;ADkAAAAQAAAAAAAAAAEAIAAAAAgBAABkcnMvc2hhcGV4bWwueG1sUEsFBgAAAAAGAAYAWwEAALID&#10;AAAAAA==&#10;">
                  <v:fill on="t" focussize="0,0"/>
                  <v:stroke weight="0.25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spacing w:line="1100" w:lineRule="exact"/>
                          <w:jc w:val="distribute"/>
                          <w:rPr>
                            <w:rFonts w:hint="eastAsia" w:eastAsia="方正小标宋简体"/>
                            <w:color w:val="FF0000"/>
                            <w:spacing w:val="-15"/>
                            <w:w w:val="60"/>
                            <w:sz w:val="80"/>
                          </w:rPr>
                        </w:pPr>
                        <w:r>
                          <w:rPr>
                            <w:rFonts w:hint="eastAsia" w:eastAsia="方正小标宋简体"/>
                            <w:color w:val="FF0000"/>
                            <w:spacing w:val="-15"/>
                            <w:w w:val="60"/>
                            <w:sz w:val="80"/>
                          </w:rPr>
                          <w:t>中共河南省委高校工作委员会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1100" w:lineRule="exact"/>
                          <w:jc w:val="distribute"/>
                          <w:rPr>
                            <w:rFonts w:eastAsia="方正小标宋简体"/>
                            <w:color w:val="FF0000"/>
                            <w:spacing w:val="-15"/>
                            <w:w w:val="60"/>
                            <w:sz w:val="80"/>
                          </w:rPr>
                        </w:pPr>
                        <w:r>
                          <w:rPr>
                            <w:rFonts w:hint="eastAsia" w:eastAsia="方正小标宋简体"/>
                            <w:color w:val="FF0000"/>
                            <w:spacing w:val="-15"/>
                            <w:w w:val="60"/>
                            <w:sz w:val="80"/>
                          </w:rPr>
                          <w:t>河南省教育厅</w:t>
                        </w:r>
                      </w:p>
                    </w:txbxContent>
                  </v:textbox>
                </v:rect>
                <v:rect id="_x0000_s1026" o:spid="_x0000_s1026" o:spt="1" style="position:absolute;left:8529;top:3620;height:1785;width:1848;" fillcolor="#FFFFFF" filled="t" stroked="t" coordsize="21600,21600" o:gfxdata="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pIhfugAAANoA&#10;AAAPAAAAAAAAAAEAIAAAACIAAABkcnMvZG93bnJldi54bWxQSwECFAAUAAAACACHTuJAMy8FnjsA&#10;AAA5AAAAEAAAAAAAAAABACAAAAAJAQAAZHJzL3NoYXBleG1sLnhtbFBLBQYAAAAABgAGAFsBAACz&#10;AwAAAAA=&#10;">
                  <v:fill on="t" focussize="0,0"/>
                  <v:stroke weight="0.25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方正小标宋简体"/>
                            <w:color w:val="FF0000"/>
                            <w:spacing w:val="-50"/>
                            <w:sz w:val="100"/>
                          </w:rPr>
                        </w:pPr>
                        <w:r>
                          <w:rPr>
                            <w:rFonts w:hint="eastAsia" w:eastAsia="方正小标宋简体"/>
                            <w:color w:val="FF0000"/>
                            <w:spacing w:val="-50"/>
                            <w:w w:val="66"/>
                            <w:sz w:val="100"/>
                          </w:rPr>
                          <w:t>文件</w:t>
                        </w:r>
                      </w:p>
                    </w:txbxContent>
                  </v:textbox>
                </v:rect>
                <v:line id="_x0000_s1026" o:spid="_x0000_s1026" o:spt="20" style="position:absolute;left:1578;top:7006;height:0;width:8961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仿宋_GB2312" w:hAnsi="仿宋_GB2312" w:cs="仿宋_GB2312"/>
          <w:lang w:bidi="ar"/>
        </w:rPr>
      </w:pPr>
    </w:p>
    <w:p>
      <w:pPr>
        <w:rPr>
          <w:rFonts w:hint="eastAsia" w:ascii="仿宋_GB2312" w:hAnsi="仿宋_GB2312" w:cs="仿宋_GB2312"/>
          <w:lang w:bidi="ar"/>
        </w:rPr>
      </w:pPr>
    </w:p>
    <w:p>
      <w:pPr>
        <w:rPr>
          <w:rFonts w:hint="eastAsia" w:ascii="仿宋_GB2312" w:hAnsi="仿宋_GB2312" w:cs="仿宋_GB2312"/>
          <w:lang w:bidi="ar"/>
        </w:rPr>
      </w:pPr>
    </w:p>
    <w:p>
      <w:pPr>
        <w:rPr>
          <w:rFonts w:hint="eastAsia" w:ascii="仿宋_GB2312" w:hAnsi="仿宋_GB2312" w:cs="仿宋_GB2312"/>
          <w:lang w:bidi="ar"/>
        </w:rPr>
      </w:pPr>
    </w:p>
    <w:p>
      <w:pPr>
        <w:rPr>
          <w:rFonts w:hint="eastAsia" w:ascii="仿宋_GB2312" w:hAnsi="仿宋_GB2312" w:cs="仿宋_GB2312"/>
          <w:lang w:bidi="ar"/>
        </w:rPr>
      </w:pPr>
    </w:p>
    <w:p>
      <w:pPr>
        <w:jc w:val="center"/>
        <w:rPr>
          <w:rFonts w:hint="eastAsia" w:ascii="仿宋_GB2312" w:hAnsi="仿宋_GB2312" w:cs="仿宋_GB2312"/>
          <w:lang w:bidi="ar"/>
        </w:rPr>
      </w:pPr>
    </w:p>
    <w:p>
      <w:pPr>
        <w:jc w:val="center"/>
        <w:rPr>
          <w:rFonts w:hint="eastAsia" w:ascii="仿宋_GB2312" w:hAnsi="仿宋_GB2312" w:cs="仿宋_GB2312"/>
          <w:lang w:bidi="ar"/>
        </w:rPr>
      </w:pPr>
    </w:p>
    <w:p>
      <w:pPr>
        <w:jc w:val="center"/>
        <w:rPr>
          <w:rFonts w:hint="eastAsia" w:ascii="仿宋_GB2312" w:hAnsi="仿宋_GB2312" w:cs="仿宋_GB2312"/>
          <w:lang w:bidi="ar"/>
        </w:rPr>
      </w:pP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  <w:lang w:bidi="ar"/>
        </w:rPr>
        <w:t>中共河南省委高校工委  河南省教育厅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bidi="ar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bidi="ar"/>
        </w:rPr>
        <w:t>关于在全省教育系统开展202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 w:bidi="ar"/>
        </w:rPr>
        <w:t>1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bidi="ar"/>
        </w:rPr>
        <w:t>“感动中原”年度教育人物评选活动的通知</w:t>
      </w:r>
    </w:p>
    <w:bookmarkEnd w:id="0"/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  <w:spacing w:val="-4"/>
        </w:rPr>
        <w:t>各省辖市教育局，各普通高等学校，各省属中等职业学校，厅直属实验学校</w:t>
      </w:r>
      <w:r>
        <w:rPr>
          <w:rFonts w:hint="eastAsia" w:ascii="仿宋_GB2312"/>
        </w:rPr>
        <w:t>：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/>
        </w:rPr>
        <w:t>为深入学习</w:t>
      </w:r>
      <w:r>
        <w:rPr>
          <w:rFonts w:hint="eastAsia"/>
          <w:lang w:eastAsia="zh-CN"/>
        </w:rPr>
        <w:t>贯彻</w:t>
      </w:r>
      <w:r>
        <w:rPr>
          <w:rFonts w:hint="eastAsia"/>
        </w:rPr>
        <w:t>习近平新时代中国特色社会主义思想</w:t>
      </w:r>
      <w:r>
        <w:rPr>
          <w:rFonts w:hint="eastAsia"/>
          <w:lang w:eastAsia="zh-CN"/>
        </w:rPr>
        <w:t>和习近平总书记“七一”重要讲话精神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全面贯彻</w:t>
      </w:r>
      <w:r>
        <w:rPr>
          <w:rFonts w:hint="eastAsia"/>
        </w:rPr>
        <w:t>落实《新时代公民道德建设实施纲要》</w:t>
      </w:r>
      <w:r>
        <w:rPr>
          <w:rFonts w:hint="eastAsia"/>
          <w:lang w:eastAsia="zh-CN"/>
        </w:rPr>
        <w:t>和</w:t>
      </w:r>
      <w:r>
        <w:rPr>
          <w:rFonts w:hint="eastAsia"/>
        </w:rPr>
        <w:t>《新时代爱国主义教育实施纲要》，</w:t>
      </w:r>
      <w:r>
        <w:rPr>
          <w:rFonts w:hint="eastAsia" w:ascii="仿宋_GB2312"/>
        </w:rPr>
        <w:t>充分发挥先进典型的示范带动和价值引领作用，根据中共河南省委宣传部《关于组织开展“出彩河南人”202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感动中原十大年度人物宣传推介活动的通知》（豫宣新</w:t>
      </w:r>
      <w:r>
        <w:rPr>
          <w:rFonts w:hint="eastAsia" w:ascii="仿宋_GB2312" w:hAnsi="仿宋_GB2312" w:cs="仿宋_GB2312"/>
          <w:lang w:bidi="ar"/>
        </w:rPr>
        <w:t>〔202</w:t>
      </w:r>
      <w:r>
        <w:rPr>
          <w:rFonts w:hint="eastAsia" w:ascii="仿宋_GB2312" w:hAnsi="仿宋_GB2312" w:cs="仿宋_GB2312"/>
          <w:lang w:val="en-US" w:eastAsia="zh-CN" w:bidi="ar"/>
        </w:rPr>
        <w:t>1</w:t>
      </w:r>
      <w:r>
        <w:rPr>
          <w:rFonts w:hint="eastAsia" w:ascii="仿宋_GB2312" w:hAnsi="仿宋_GB2312" w:cs="仿宋_GB2312"/>
          <w:lang w:bidi="ar"/>
        </w:rPr>
        <w:t>〕</w:t>
      </w:r>
      <w:r>
        <w:rPr>
          <w:rFonts w:hint="eastAsia" w:ascii="仿宋_GB2312" w:hAnsi="仿宋_GB2312" w:cs="仿宋_GB2312"/>
          <w:lang w:val="en-US" w:eastAsia="zh-CN" w:bidi="ar"/>
        </w:rPr>
        <w:t>62</w:t>
      </w:r>
      <w:r>
        <w:rPr>
          <w:rFonts w:hint="eastAsia" w:ascii="仿宋_GB2312" w:hAnsi="仿宋_GB2312" w:cs="仿宋_GB2312"/>
          <w:lang w:bidi="ar"/>
        </w:rPr>
        <w:t>号</w:t>
      </w:r>
      <w:r>
        <w:rPr>
          <w:rFonts w:hint="eastAsia" w:ascii="仿宋_GB2312"/>
        </w:rPr>
        <w:t>）精神，省委高校工委、省教育厅决定在全省教育系统开展202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“感动中原”年度教育人物评选活动。现将有关事项通知如下：</w:t>
      </w:r>
    </w:p>
    <w:p>
      <w:pPr>
        <w:ind w:firstLine="618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一、指导思想</w:t>
      </w:r>
    </w:p>
    <w:p>
      <w:pPr>
        <w:ind w:firstLine="618" w:firstLineChars="200"/>
        <w:rPr>
          <w:rFonts w:hint="eastAsia" w:ascii="仿宋_GB2312" w:hAnsi="仿宋_GB2312" w:cs="仿宋_GB2312"/>
        </w:rPr>
      </w:pPr>
      <w:r>
        <w:rPr>
          <w:rFonts w:hint="eastAsia" w:ascii="仿宋_GB2312"/>
        </w:rPr>
        <w:t>以习近平新时代中国特色社会主义思想为指导，全面贯彻落实党的十九大和十九届二中、三中、四中、五中全会精神，大力弘扬社会主义核心价值观和伟大抗疫精神，增强“四个意识”、坚定“四个自信”、做到“两个维护”，深入挖掘宣传推广全省教育系统涌现出的、特别是在抗击新冠肺炎疫情</w:t>
      </w:r>
      <w:r>
        <w:rPr>
          <w:rFonts w:hint="eastAsia" w:ascii="仿宋_GB2312"/>
          <w:lang w:val="en-US" w:eastAsia="zh-CN"/>
        </w:rPr>
        <w:t>和防汛救灾</w:t>
      </w:r>
      <w:r>
        <w:rPr>
          <w:rFonts w:hint="eastAsia" w:ascii="仿宋_GB2312"/>
        </w:rPr>
        <w:t>斗争中作出重大贡献的先进个人，树立一批自觉践行社会主义核心价值观的学习榜样，引导广大师生</w:t>
      </w:r>
      <w:r>
        <w:rPr>
          <w:rFonts w:hint="eastAsia" w:ascii="仿宋_GB2312"/>
          <w:lang w:eastAsia="zh-CN"/>
        </w:rPr>
        <w:t>员工</w:t>
      </w:r>
      <w:r>
        <w:rPr>
          <w:rFonts w:hint="eastAsia" w:ascii="仿宋_GB2312"/>
        </w:rPr>
        <w:t>学习他们的先进事迹和崇高精神，</w:t>
      </w:r>
      <w:r>
        <w:rPr>
          <w:rFonts w:hint="eastAsia" w:ascii="FangSong_GB2312" w:hAnsi="FangSong_GB2312" w:eastAsia="FangSong_GB2312"/>
          <w:color w:val="000000"/>
          <w:sz w:val="30"/>
          <w:lang w:eastAsia="zh-CN"/>
        </w:rPr>
        <w:t>自觉做社会主义核心价值观的</w:t>
      </w:r>
      <w:r>
        <w:rPr>
          <w:rFonts w:hint="eastAsia" w:ascii="FangSong_GB2312" w:hAnsi="FangSong_GB2312" w:eastAsia="FangSong_GB2312"/>
          <w:color w:val="000000"/>
          <w:sz w:val="30"/>
          <w:lang w:val="en-US" w:eastAsia="zh-CN"/>
        </w:rPr>
        <w:t>坚定</w:t>
      </w:r>
      <w:r>
        <w:rPr>
          <w:rFonts w:hint="eastAsia" w:ascii="FangSong_GB2312" w:hAnsi="FangSong_GB2312" w:eastAsia="FangSong_GB2312"/>
          <w:color w:val="000000"/>
          <w:sz w:val="30"/>
          <w:lang w:eastAsia="zh-CN"/>
        </w:rPr>
        <w:t>信仰者、积极传播者、模范践行者</w:t>
      </w:r>
      <w:r>
        <w:rPr>
          <w:rFonts w:hint="default" w:ascii="FangSong_GB2312" w:hAnsi="FangSong_GB2312" w:eastAsia="FangSong_GB2312"/>
          <w:color w:val="000000"/>
          <w:sz w:val="30"/>
        </w:rPr>
        <w:t>，</w:t>
      </w:r>
      <w:r>
        <w:rPr>
          <w:rFonts w:hint="eastAsia" w:ascii="仿宋_GB2312" w:hAnsi="仿宋_GB2312" w:cs="仿宋_GB2312"/>
          <w:lang w:eastAsia="zh-CN"/>
        </w:rPr>
        <w:t>为推动全省教育事业高质量发展提供坚强思想保证和强大精神力量</w:t>
      </w:r>
      <w:r>
        <w:rPr>
          <w:rFonts w:hint="eastAsia" w:ascii="仿宋_GB2312" w:hAnsi="仿宋_GB2312" w:cs="仿宋_GB2312"/>
        </w:rPr>
        <w:t>。</w:t>
      </w:r>
    </w:p>
    <w:p>
      <w:pPr>
        <w:ind w:firstLine="618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二、参评条件、范围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1.认真学习贯彻习近平新时代中国特色社会主义思想，拥护中国共产党的领导，落实“两个维护”，热爱祖国，热爱社会主义，热爱家乡，热爱人民，热爱教育事业。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2.具有高尚的道德情操和与时俱进的时代精神，具有强烈的社会责任感，积极践行社会主义核心价值观，在单位（学校）内外产生较大影响。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3.忠于职守，爱岗敬业，勇于创新，克难攻坚，在平凡的岗位上做出了不平凡的业绩，为推进河南教育事业发展做出了突出贡献。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4.不图名、不图利，热心社会公益事业；关键时刻临危不惧，挺身而出，勇于维护国家、集体荣誉和人民群众财产安全，在社会上产生重大反响；诚实守信，乐于助人，尊老爱幼，受到社会普遍赞誉和广大师生</w:t>
      </w:r>
      <w:r>
        <w:rPr>
          <w:rFonts w:hint="eastAsia" w:ascii="仿宋_GB2312"/>
          <w:lang w:eastAsia="zh-CN"/>
        </w:rPr>
        <w:t>员工</w:t>
      </w:r>
      <w:r>
        <w:rPr>
          <w:rFonts w:hint="eastAsia" w:ascii="仿宋_GB2312"/>
        </w:rPr>
        <w:t>一致好评。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5.在外学习、工作期间，艰苦奋斗，自强不息，乐善好施，见义勇为，能够用实际行动维护河南人声誉，展示河南人的良好形象，传播河南好声音。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6.人物事迹主要发生在202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年度，或者长期以来恪守社会公德、职业道德、弘扬家庭美德，为社会公平正义、道德规范作出突出贡献，引起社会广泛关注。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7.遵纪守法，品德高尚，无邻里矛盾，无经济纠纷，无违法违纪记录，无弄虚作假行为。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8.</w:t>
      </w:r>
      <w:r>
        <w:rPr>
          <w:rFonts w:hint="eastAsia" w:ascii="仿宋_GB2312" w:hAnsi="仿宋_GB2312" w:cs="仿宋_GB2312"/>
        </w:rPr>
        <w:t>对于在抗击新冠肺炎疫情</w:t>
      </w:r>
      <w:r>
        <w:rPr>
          <w:rFonts w:hint="eastAsia" w:ascii="仿宋_GB2312" w:hAnsi="仿宋_GB2312" w:cs="仿宋_GB2312"/>
          <w:lang w:val="en-US" w:eastAsia="zh-CN"/>
        </w:rPr>
        <w:t>和防汛救灾</w:t>
      </w:r>
      <w:r>
        <w:rPr>
          <w:rFonts w:hint="eastAsia" w:ascii="仿宋_GB2312" w:hAnsi="仿宋_GB2312" w:cs="仿宋_GB2312"/>
        </w:rPr>
        <w:t>斗争中表现优异的先进个人，在推荐申报时优先考虑、适度倾斜。</w:t>
      </w:r>
    </w:p>
    <w:p>
      <w:pPr>
        <w:ind w:firstLine="618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三、推荐名额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省辖市教育局按每市1名、普通高等学校每校1名、省属中等职业学校每校1名、厅直属中小学校、幼儿园每校1名推荐。</w:t>
      </w:r>
    </w:p>
    <w:p>
      <w:pPr>
        <w:ind w:firstLine="618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四、评选程序及奖项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在各单位（学校）推荐的基础上，组织专家评选。同时，将从中遴选推荐参加“出彩河南人”之202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感动中原十大年度人物宣传推介活动。</w:t>
      </w:r>
    </w:p>
    <w:p>
      <w:pPr>
        <w:ind w:firstLine="618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五、有关要求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1.开展202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“感动中原”年度教育人物评选，是深化教育系统精神文明建设的重要举措。各地教育行政部门、各学校要高度重视，精心组织，确保评选推荐工作顺利进行；各单位要严格把关，确保材料真实有效，如有弄虚作假</w:t>
      </w:r>
      <w:r>
        <w:rPr>
          <w:rFonts w:hint="eastAsia" w:ascii="仿宋_GB2312"/>
          <w:lang w:eastAsia="zh-CN"/>
        </w:rPr>
        <w:t>一律</w:t>
      </w:r>
      <w:r>
        <w:rPr>
          <w:rFonts w:hint="eastAsia" w:ascii="仿宋_GB2312"/>
        </w:rPr>
        <w:t>取消参评资格，并</w:t>
      </w:r>
      <w:r>
        <w:rPr>
          <w:rFonts w:hint="eastAsia" w:ascii="仿宋_GB2312"/>
          <w:lang w:eastAsia="zh-CN"/>
        </w:rPr>
        <w:t>予以</w:t>
      </w:r>
      <w:r>
        <w:rPr>
          <w:rFonts w:hint="eastAsia" w:ascii="仿宋_GB2312"/>
        </w:rPr>
        <w:t>通报批评。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2.要充分利用校报校刊以及校园广播、宣传栏、电视和网络等宣传阵地，组织动员广大师生积极参与。届时，将利用各种媒体开设活动专栏，专题宣传先进典型，报道活动动态。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3.坚持公平、公正、公开的原则，要严格按照参评条件、范围和名额进行推荐，确保质量。对已获得往届“感动中原”年度教育人物者，不再参与本年度的推荐与评选活动。根据有关规定，原则上不推荐厅级领导干部参与评选。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4.材料申报：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（1）各单位要认真填写《202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“感动中原”十大年度人物推荐表》并实事求是撰写推荐人物事迹详细材料。要求：事迹材料（500字以内），并附人物2寸近期正装彩色（红底）标准照3张；有条件的可同时制作个人事迹视频（限20分钟内）</w:t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（2）推荐表、事迹材料统一用A4纸正反两面打印装订成一式2份，经本单位审核、加盖公章后，于202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年11月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日前报送省</w:t>
      </w:r>
      <w:r>
        <w:rPr>
          <w:rFonts w:hint="eastAsia" w:ascii="仿宋_GB2312"/>
          <w:lang w:eastAsia="zh-CN"/>
        </w:rPr>
        <w:t>教育厅。</w:t>
      </w:r>
      <w:r>
        <w:rPr>
          <w:rFonts w:hint="eastAsia" w:ascii="仿宋_GB2312"/>
        </w:rPr>
        <w:t>评审结束后不再退发相关材料。</w:t>
      </w:r>
    </w:p>
    <w:p>
      <w:pPr>
        <w:ind w:firstLine="618" w:firstLineChars="200"/>
        <w:rPr>
          <w:rFonts w:hint="eastAsia" w:ascii="仿宋_GB2312"/>
        </w:rPr>
      </w:pPr>
    </w:p>
    <w:p>
      <w:pPr>
        <w:ind w:firstLine="618" w:firstLineChars="200"/>
        <w:rPr>
          <w:rFonts w:hint="eastAsia" w:ascii="仿宋_GB2312" w:hAnsi="仿宋_GB2312" w:cs="仿宋_GB2312"/>
        </w:rPr>
      </w:pPr>
      <w:r>
        <w:rPr>
          <w:rFonts w:hint="eastAsia" w:ascii="仿宋_GB2312"/>
        </w:rPr>
        <w:t>附件：202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“感动中原”年度人物推荐表</w:t>
      </w:r>
    </w:p>
    <w:p>
      <w:pPr>
        <w:ind w:firstLine="618" w:firstLineChars="200"/>
        <w:rPr>
          <w:rFonts w:hint="eastAsia" w:ascii="仿宋_GB2312" w:hAnsi="宋体" w:cs="宋体"/>
          <w:kern w:val="0"/>
        </w:rPr>
      </w:pPr>
    </w:p>
    <w:p>
      <w:pPr>
        <w:ind w:firstLine="618" w:firstLineChars="200"/>
        <w:rPr>
          <w:rFonts w:hint="eastAsia" w:ascii="仿宋_GB2312" w:hAnsi="宋体" w:cs="宋体"/>
          <w:kern w:val="0"/>
        </w:rPr>
      </w:pPr>
    </w:p>
    <w:p>
      <w:pPr>
        <w:ind w:firstLine="618" w:firstLineChars="200"/>
        <w:rPr>
          <w:rFonts w:hint="eastAsia" w:ascii="仿宋_GB2312" w:hAnsi="宋体" w:cs="宋体"/>
          <w:kern w:val="0"/>
        </w:rPr>
      </w:pPr>
    </w:p>
    <w:p>
      <w:pPr>
        <w:ind w:firstLine="698" w:firstLineChars="200"/>
        <w:rPr>
          <w:rFonts w:hint="eastAsia" w:ascii="仿宋_GB2312" w:hAnsi="宋体" w:cs="宋体"/>
          <w:spacing w:val="60"/>
          <w:kern w:val="0"/>
        </w:rPr>
      </w:pPr>
      <w:r>
        <w:rPr>
          <w:rFonts w:hint="eastAsia" w:ascii="仿宋_GB2312" w:hAnsi="宋体" w:cs="宋体"/>
          <w:spacing w:val="20"/>
          <w:kern w:val="0"/>
        </w:rPr>
        <w:t xml:space="preserve">中共河南省委高校工委    </w:t>
      </w:r>
      <w:r>
        <w:rPr>
          <w:rFonts w:hint="eastAsia" w:ascii="仿宋_GB2312" w:hAnsi="宋体" w:cs="宋体"/>
          <w:spacing w:val="60"/>
          <w:kern w:val="0"/>
        </w:rPr>
        <w:t>河南省教育厅</w:t>
      </w:r>
    </w:p>
    <w:p>
      <w:pPr>
        <w:ind w:firstLine="5206" w:firstLineChars="1685"/>
        <w:rPr>
          <w:rFonts w:hint="eastAsia" w:ascii="仿宋_GB2312"/>
        </w:rPr>
      </w:pPr>
      <w:r>
        <w:rPr>
          <w:rFonts w:hint="eastAsia" w:ascii="仿宋_GB2312"/>
        </w:rPr>
        <w:t>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年10月</w:t>
      </w:r>
      <w:r>
        <w:rPr>
          <w:rFonts w:hint="eastAsia" w:ascii="仿宋_GB2312"/>
          <w:lang w:val="en-US" w:eastAsia="zh-CN"/>
        </w:rPr>
        <w:t>18</w:t>
      </w:r>
      <w:r>
        <w:rPr>
          <w:rFonts w:hint="eastAsia" w:ascii="仿宋_GB2312"/>
        </w:rPr>
        <w:t>日</w:t>
      </w:r>
    </w:p>
    <w:p>
      <w:pPr>
        <w:widowControl/>
        <w:shd w:val="clear" w:color="auto" w:fill="FFFFFF"/>
        <w:spacing w:line="540" w:lineRule="atLeast"/>
        <w:jc w:val="left"/>
        <w:rPr>
          <w:rFonts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left="1698" w:hanging="1693" w:hangingChars="548"/>
        <w:rPr>
          <w:rFonts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ascii="黑体" w:eastAsia="黑体"/>
        </w:rPr>
        <w:t xml:space="preserve">  </w:t>
      </w:r>
      <w:r>
        <w:rPr>
          <w:rFonts w:hint="eastAsia" w:ascii="黑体" w:eastAsia="黑体"/>
        </w:rPr>
        <w:t>件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“感动中原”年度人物推荐表</w:t>
      </w:r>
    </w:p>
    <w:p>
      <w:pPr>
        <w:snapToGrid w:val="0"/>
        <w:jc w:val="center"/>
        <w:rPr>
          <w:sz w:val="10"/>
          <w:szCs w:val="10"/>
        </w:rPr>
      </w:pPr>
    </w:p>
    <w:p>
      <w:pPr>
        <w:snapToGrid w:val="0"/>
        <w:ind w:firstLine="249" w:firstLineChars="10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推荐单位（盖章）：</w:t>
      </w:r>
    </w:p>
    <w:tbl>
      <w:tblPr>
        <w:tblStyle w:val="4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38"/>
        <w:gridCol w:w="940"/>
        <w:gridCol w:w="1275"/>
        <w:gridCol w:w="836"/>
        <w:gridCol w:w="296"/>
        <w:gridCol w:w="745"/>
        <w:gridCol w:w="83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</w:t>
            </w:r>
          </w:p>
        </w:tc>
        <w:tc>
          <w:tcPr>
            <w:tcW w:w="5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电子邮箱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移动电话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办公电话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邮编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22" w:firstLineChars="2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事迹简介（限500字左右，详细材料另附）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见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71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63" w:rightChars="-5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省辖市教育局或主管厅(局)意见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60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ind w:right="11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省委高校工委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省教育厅意见</w:t>
            </w:r>
          </w:p>
        </w:tc>
        <w:tc>
          <w:tcPr>
            <w:tcW w:w="7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71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71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71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71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71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ind w:right="71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年   月   日</w:t>
            </w:r>
          </w:p>
        </w:tc>
      </w:tr>
    </w:tbl>
    <w:p>
      <w:pPr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2"/>
          <w:szCs w:val="36"/>
        </w:rPr>
        <w:t xml:space="preserve">推荐单位联系人：    办公电话：    </w:t>
      </w:r>
      <w:r>
        <w:rPr>
          <w:rFonts w:hint="eastAsia" w:ascii="楷体_GB2312" w:eastAsia="楷体_GB2312"/>
          <w:sz w:val="32"/>
          <w:szCs w:val="36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6"/>
        </w:rPr>
        <w:t>移动电话：</w:t>
      </w:r>
    </w:p>
    <w:p>
      <w:pPr>
        <w:jc w:val="both"/>
      </w:pPr>
    </w:p>
    <w:sectPr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7515"/>
    <w:rsid w:val="02A02474"/>
    <w:rsid w:val="05B96F00"/>
    <w:rsid w:val="079C4FD3"/>
    <w:rsid w:val="0A6F4500"/>
    <w:rsid w:val="0E05780B"/>
    <w:rsid w:val="105141A3"/>
    <w:rsid w:val="144B3FA5"/>
    <w:rsid w:val="19202BCB"/>
    <w:rsid w:val="1A392A37"/>
    <w:rsid w:val="1CB75FF2"/>
    <w:rsid w:val="1F400530"/>
    <w:rsid w:val="21F80E23"/>
    <w:rsid w:val="247C78B6"/>
    <w:rsid w:val="26DB22E7"/>
    <w:rsid w:val="26E677E0"/>
    <w:rsid w:val="291613B0"/>
    <w:rsid w:val="2DC15112"/>
    <w:rsid w:val="2E753999"/>
    <w:rsid w:val="31793843"/>
    <w:rsid w:val="31EC51B8"/>
    <w:rsid w:val="34C0293E"/>
    <w:rsid w:val="35A31ABD"/>
    <w:rsid w:val="367B2C80"/>
    <w:rsid w:val="3F7D492E"/>
    <w:rsid w:val="3FAF5A8A"/>
    <w:rsid w:val="41E56449"/>
    <w:rsid w:val="43F7149A"/>
    <w:rsid w:val="489C0E8B"/>
    <w:rsid w:val="48E0575A"/>
    <w:rsid w:val="4B5B4F76"/>
    <w:rsid w:val="50C103AD"/>
    <w:rsid w:val="51755336"/>
    <w:rsid w:val="63BC07FF"/>
    <w:rsid w:val="66743B6F"/>
    <w:rsid w:val="66AB3ACE"/>
    <w:rsid w:val="6A1E12AE"/>
    <w:rsid w:val="716C5621"/>
    <w:rsid w:val="71F45F88"/>
    <w:rsid w:val="745611C9"/>
    <w:rsid w:val="756E4C66"/>
    <w:rsid w:val="775F56BA"/>
    <w:rsid w:val="77A71536"/>
    <w:rsid w:val="790563EE"/>
    <w:rsid w:val="7A122075"/>
    <w:rsid w:val="7A840410"/>
    <w:rsid w:val="7A842EC3"/>
    <w:rsid w:val="7ADC0A9F"/>
    <w:rsid w:val="7C8E7515"/>
    <w:rsid w:val="7DC8318D"/>
    <w:rsid w:val="7F0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adjustRightInd w:val="0"/>
      <w:snapToGrid w:val="0"/>
      <w:spacing w:line="940" w:lineRule="exact"/>
      <w:jc w:val="center"/>
    </w:pPr>
    <w:rPr>
      <w:rFonts w:ascii="Times New Roman" w:hAnsi="Times New Roman" w:eastAsia="文星标宋"/>
      <w:color w:val="000000"/>
      <w:spacing w:val="10"/>
      <w:w w:val="78"/>
      <w:sz w:val="50"/>
      <w:szCs w:val="20"/>
    </w:rPr>
  </w:style>
  <w:style w:type="paragraph" w:customStyle="1" w:styleId="6">
    <w:name w:val="Char"/>
    <w:basedOn w:val="1"/>
    <w:link w:val="5"/>
    <w:uiPriority w:val="0"/>
    <w:rPr>
      <w:rFonts w:ascii="Times New Roman" w:hAnsi="Times New Roman" w:eastAsia="仿宋_GB2312"/>
      <w:sz w:val="32"/>
      <w:szCs w:val="32"/>
    </w:rPr>
  </w:style>
  <w:style w:type="character" w:styleId="7">
    <w:name w:val="page number"/>
    <w:basedOn w:val="5"/>
    <w:uiPriority w:val="0"/>
  </w:style>
  <w:style w:type="character" w:styleId="8">
    <w:name w:val="Hyperlink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2021-10-13T07:18:00Z</dcterms:created>
  <dc:creator>Lilong</dc:creator>
  <cp:lastModifiedBy>33</cp:lastModifiedBy>
  <cp:lastPrinted>2021-10-18T01:02:00Z</cp:lastPrinted>
  <dcterms:modified xsi:type="dcterms:W3CDTF">2021-10-28T00:30:57Z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1CD8B1B2AB6B4B5F9DB7BF4FACD0A79D</vt:lpwstr>
  </property>
</Properties>
</file>